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0673" w14:textId="77777777" w:rsidR="00EC01CC" w:rsidRDefault="00000000">
      <w:pPr>
        <w:spacing w:before="37"/>
        <w:ind w:left="2825" w:right="3184"/>
        <w:jc w:val="center"/>
        <w:rPr>
          <w:b/>
        </w:rPr>
      </w:pPr>
      <w:r>
        <w:rPr>
          <w:b/>
        </w:rPr>
        <w:t>T.C.</w:t>
      </w:r>
    </w:p>
    <w:p w14:paraId="2C770C2C" w14:textId="77777777" w:rsidR="00EC01CC" w:rsidRDefault="00000000">
      <w:pPr>
        <w:ind w:left="2825" w:right="3184"/>
        <w:jc w:val="center"/>
        <w:rPr>
          <w:b/>
        </w:rPr>
      </w:pPr>
      <w:r>
        <w:rPr>
          <w:b/>
        </w:rPr>
        <w:t>SAĞLIK</w:t>
      </w:r>
      <w:r>
        <w:rPr>
          <w:b/>
          <w:spacing w:val="-6"/>
        </w:rPr>
        <w:t xml:space="preserve"> </w:t>
      </w:r>
      <w:r>
        <w:rPr>
          <w:b/>
        </w:rPr>
        <w:t>BİLİMLERİ</w:t>
      </w:r>
      <w:r>
        <w:rPr>
          <w:b/>
          <w:spacing w:val="-2"/>
        </w:rPr>
        <w:t xml:space="preserve"> </w:t>
      </w:r>
      <w:r>
        <w:rPr>
          <w:b/>
        </w:rPr>
        <w:t>ÜNİVERSİTESİ</w:t>
      </w:r>
    </w:p>
    <w:p w14:paraId="6E1AB5C5" w14:textId="3DA3BE31" w:rsidR="00EC01CC" w:rsidRDefault="00000000">
      <w:pPr>
        <w:spacing w:before="1"/>
        <w:ind w:left="1523" w:right="1880"/>
        <w:jc w:val="center"/>
        <w:rPr>
          <w:b/>
        </w:rPr>
      </w:pPr>
      <w:r>
        <w:rPr>
          <w:b/>
        </w:rPr>
        <w:t>HAMİDİYE</w:t>
      </w:r>
      <w:r>
        <w:rPr>
          <w:b/>
          <w:spacing w:val="-4"/>
        </w:rPr>
        <w:t xml:space="preserve"> </w:t>
      </w:r>
      <w:r w:rsidR="00D75FB3">
        <w:rPr>
          <w:b/>
          <w:spacing w:val="-4"/>
        </w:rPr>
        <w:t>SPORCU SAĞLIĞI VE SPOR BİLİMLERİ</w:t>
      </w:r>
      <w:r>
        <w:rPr>
          <w:b/>
          <w:spacing w:val="-3"/>
        </w:rPr>
        <w:t xml:space="preserve"> </w:t>
      </w:r>
      <w:r>
        <w:rPr>
          <w:b/>
        </w:rPr>
        <w:t>ENSTİTÜSÜ</w:t>
      </w:r>
    </w:p>
    <w:p w14:paraId="11BC32D7" w14:textId="77777777" w:rsidR="00EC01CC" w:rsidRDefault="00000000">
      <w:pPr>
        <w:ind w:left="1523" w:right="1884"/>
        <w:jc w:val="center"/>
        <w:rPr>
          <w:b/>
        </w:rPr>
      </w:pPr>
      <w:r>
        <w:rPr>
          <w:b/>
        </w:rPr>
        <w:t>LİSANSÜSTÜ</w:t>
      </w:r>
      <w:r>
        <w:rPr>
          <w:b/>
          <w:spacing w:val="-3"/>
        </w:rPr>
        <w:t xml:space="preserve"> </w:t>
      </w:r>
      <w:r>
        <w:rPr>
          <w:b/>
        </w:rPr>
        <w:t>ÖĞRENCİLERİN</w:t>
      </w:r>
      <w:r>
        <w:rPr>
          <w:b/>
          <w:spacing w:val="2"/>
        </w:rPr>
        <w:t xml:space="preserve"> </w:t>
      </w:r>
      <w:r>
        <w:rPr>
          <w:b/>
        </w:rPr>
        <w:t>YATAY</w:t>
      </w:r>
      <w:r>
        <w:rPr>
          <w:b/>
          <w:spacing w:val="-4"/>
        </w:rPr>
        <w:t xml:space="preserve"> </w:t>
      </w:r>
      <w:r>
        <w:rPr>
          <w:b/>
        </w:rPr>
        <w:t>GEÇİŞ USUL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ESASLARI</w:t>
      </w:r>
    </w:p>
    <w:p w14:paraId="7BF727B6" w14:textId="77777777" w:rsidR="00EC01CC" w:rsidRDefault="00EC01CC">
      <w:pPr>
        <w:pStyle w:val="GvdeMetni"/>
        <w:ind w:left="0" w:right="0" w:firstLine="0"/>
        <w:jc w:val="left"/>
        <w:rPr>
          <w:b/>
        </w:rPr>
      </w:pPr>
    </w:p>
    <w:p w14:paraId="53BB6781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ind w:right="111"/>
        <w:jc w:val="both"/>
      </w:pPr>
      <w:r>
        <w:t>Ana bilim dallarında ya da başka bir yükseköğretim kurumunun lisansüstü programında en az</w:t>
      </w:r>
      <w:r>
        <w:rPr>
          <w:spacing w:val="1"/>
        </w:rPr>
        <w:t xml:space="preserve"> </w:t>
      </w:r>
      <w:r>
        <w:t>bir yarıyılı başarıyla tamamlamış öğrenciler, yatay geçiş yapmak istedikleri programlar için</w:t>
      </w:r>
      <w:r>
        <w:rPr>
          <w:spacing w:val="1"/>
        </w:rPr>
        <w:t xml:space="preserve"> </w:t>
      </w:r>
      <w:r>
        <w:t>genel başarı notunun, yatay geçiş müracaatında bulunduğu yarıyılda ana bilim dalına kabul</w:t>
      </w:r>
      <w:r>
        <w:rPr>
          <w:spacing w:val="1"/>
        </w:rPr>
        <w:t xml:space="preserve"> </w:t>
      </w:r>
      <w:r>
        <w:t>edilen öğrencilerin almış oldukları taban puandan düşük olmaması koşuluyla, ana bilim dalı</w:t>
      </w:r>
      <w:r>
        <w:rPr>
          <w:spacing w:val="1"/>
        </w:rPr>
        <w:t xml:space="preserve"> </w:t>
      </w:r>
      <w:r>
        <w:t>başkanlığının önerisi ve enstitü yönetim kurulunun kararı ile Üniversite bünyesinde yürütülen</w:t>
      </w:r>
      <w:r>
        <w:rPr>
          <w:spacing w:val="1"/>
        </w:rPr>
        <w:t xml:space="preserve"> </w:t>
      </w:r>
      <w:r>
        <w:t>lisansüstü</w:t>
      </w:r>
      <w:r>
        <w:rPr>
          <w:spacing w:val="1"/>
        </w:rPr>
        <w:t xml:space="preserve"> </w:t>
      </w:r>
      <w:r>
        <w:t>programlara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yarıyılında</w:t>
      </w:r>
      <w:r>
        <w:rPr>
          <w:spacing w:val="1"/>
        </w:rPr>
        <w:t xml:space="preserve"> </w:t>
      </w:r>
      <w:r>
        <w:t>(4.</w:t>
      </w:r>
      <w:r>
        <w:rPr>
          <w:spacing w:val="1"/>
        </w:rPr>
        <w:t xml:space="preserve"> </w:t>
      </w:r>
      <w:r>
        <w:t>dönemde),</w:t>
      </w:r>
      <w:r>
        <w:rPr>
          <w:spacing w:val="1"/>
        </w:rPr>
        <w:t xml:space="preserve"> </w:t>
      </w:r>
      <w:r>
        <w:t>doktora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süresinin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yılında (7.</w:t>
      </w:r>
      <w:r>
        <w:rPr>
          <w:spacing w:val="4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8. dönemde)</w:t>
      </w:r>
      <w:r>
        <w:rPr>
          <w:spacing w:val="-1"/>
        </w:rPr>
        <w:t xml:space="preserve"> </w:t>
      </w:r>
      <w:r>
        <w:t>yatay geçiş</w:t>
      </w:r>
      <w:r>
        <w:rPr>
          <w:spacing w:val="-2"/>
        </w:rPr>
        <w:t xml:space="preserve"> </w:t>
      </w:r>
      <w:r>
        <w:t>yapamaz.</w:t>
      </w:r>
    </w:p>
    <w:p w14:paraId="577E9967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ind w:right="110"/>
        <w:jc w:val="both"/>
      </w:pPr>
      <w:r>
        <w:t>Lisansüstü programlara açılacak yatay geçiş kontenjanları Enstitü Anabilim Dalı Kurulu’nun</w:t>
      </w:r>
      <w:r>
        <w:rPr>
          <w:spacing w:val="1"/>
        </w:rPr>
        <w:t xml:space="preserve"> </w:t>
      </w:r>
      <w:r>
        <w:t>görüşü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Enstitü</w:t>
      </w:r>
      <w:r>
        <w:rPr>
          <w:spacing w:val="-11"/>
        </w:rPr>
        <w:t xml:space="preserve"> </w:t>
      </w:r>
      <w:r>
        <w:t>Yönetim</w:t>
      </w:r>
      <w:r>
        <w:rPr>
          <w:spacing w:val="-11"/>
        </w:rPr>
        <w:t xml:space="preserve"> </w:t>
      </w:r>
      <w:r>
        <w:t>Kurulu’nun</w:t>
      </w:r>
      <w:r>
        <w:rPr>
          <w:spacing w:val="-9"/>
        </w:rPr>
        <w:t xml:space="preserve"> </w:t>
      </w:r>
      <w:r>
        <w:t>önerisi</w:t>
      </w:r>
      <w:r>
        <w:rPr>
          <w:spacing w:val="-8"/>
        </w:rPr>
        <w:t xml:space="preserve"> </w:t>
      </w:r>
      <w:r>
        <w:t>üzerine</w:t>
      </w:r>
      <w:r>
        <w:rPr>
          <w:spacing w:val="-10"/>
        </w:rPr>
        <w:t xml:space="preserve"> </w:t>
      </w:r>
      <w:r>
        <w:t>Üniversite</w:t>
      </w:r>
      <w:r>
        <w:rPr>
          <w:spacing w:val="-10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Kurulu’nca</w:t>
      </w:r>
      <w:r>
        <w:rPr>
          <w:spacing w:val="-8"/>
        </w:rPr>
        <w:t xml:space="preserve"> </w:t>
      </w:r>
      <w:r>
        <w:t>belirlenir.</w:t>
      </w:r>
      <w:r>
        <w:rPr>
          <w:spacing w:val="-47"/>
        </w:rPr>
        <w:t xml:space="preserve"> </w:t>
      </w:r>
      <w:r>
        <w:t>Kontenjan</w:t>
      </w:r>
      <w:r>
        <w:rPr>
          <w:spacing w:val="-2"/>
        </w:rPr>
        <w:t xml:space="preserve"> </w:t>
      </w:r>
      <w:r>
        <w:t>ilan</w:t>
      </w:r>
      <w:r>
        <w:rPr>
          <w:spacing w:val="-2"/>
        </w:rPr>
        <w:t xml:space="preserve"> </w:t>
      </w:r>
      <w:r>
        <w:t>edilmeyen lisansüstü</w:t>
      </w:r>
      <w:r>
        <w:rPr>
          <w:spacing w:val="-2"/>
        </w:rPr>
        <w:t xml:space="preserve"> </w:t>
      </w:r>
      <w:r>
        <w:t>programlar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yatay geçiş kontenjanı</w:t>
      </w:r>
      <w:r>
        <w:rPr>
          <w:spacing w:val="-1"/>
        </w:rPr>
        <w:t xml:space="preserve"> </w:t>
      </w:r>
      <w:r>
        <w:t>açılamaz.</w:t>
      </w:r>
    </w:p>
    <w:p w14:paraId="2ECFE095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right="115"/>
        <w:jc w:val="both"/>
      </w:pPr>
      <w:r>
        <w:t>Geçişler, eşdeğer programlar için uygulanır. Buna göre, yüksek lisans programlarından yüksek</w:t>
      </w:r>
      <w:r>
        <w:rPr>
          <w:spacing w:val="-47"/>
        </w:rPr>
        <w:t xml:space="preserve"> </w:t>
      </w:r>
      <w:r>
        <w:t>lisans</w:t>
      </w:r>
      <w:r>
        <w:rPr>
          <w:spacing w:val="-2"/>
        </w:rPr>
        <w:t xml:space="preserve"> </w:t>
      </w:r>
      <w:r>
        <w:t>programlarına;</w:t>
      </w:r>
      <w:r>
        <w:rPr>
          <w:spacing w:val="-2"/>
        </w:rPr>
        <w:t xml:space="preserve"> </w:t>
      </w:r>
      <w:r>
        <w:t>doktora</w:t>
      </w:r>
      <w:r>
        <w:rPr>
          <w:spacing w:val="-2"/>
        </w:rPr>
        <w:t xml:space="preserve"> </w:t>
      </w:r>
      <w:r>
        <w:t>programlarından</w:t>
      </w:r>
      <w:r>
        <w:rPr>
          <w:spacing w:val="-3"/>
        </w:rPr>
        <w:t xml:space="preserve"> </w:t>
      </w:r>
      <w:r>
        <w:t>doktora</w:t>
      </w:r>
      <w:r>
        <w:rPr>
          <w:spacing w:val="-1"/>
        </w:rPr>
        <w:t xml:space="preserve"> </w:t>
      </w:r>
      <w:r>
        <w:t>programlarına</w:t>
      </w:r>
      <w:r>
        <w:rPr>
          <w:spacing w:val="-2"/>
        </w:rPr>
        <w:t xml:space="preserve"> </w:t>
      </w: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5"/>
        </w:rPr>
        <w:t xml:space="preserve"> </w:t>
      </w:r>
      <w:r>
        <w:t>yapılabilir.</w:t>
      </w:r>
    </w:p>
    <w:p w14:paraId="77E777A3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line="267" w:lineRule="exact"/>
        <w:ind w:right="0" w:hanging="361"/>
        <w:jc w:val="both"/>
      </w:pPr>
      <w:r>
        <w:t>Tezsiz</w:t>
      </w:r>
      <w:r>
        <w:rPr>
          <w:spacing w:val="-2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programlarına</w:t>
      </w:r>
      <w:r>
        <w:rPr>
          <w:spacing w:val="-3"/>
        </w:rPr>
        <w:t xml:space="preserve"> </w:t>
      </w:r>
      <w:r>
        <w:t>yatay</w:t>
      </w:r>
      <w:r>
        <w:rPr>
          <w:spacing w:val="-3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yapılamaz.</w:t>
      </w:r>
    </w:p>
    <w:p w14:paraId="05E59B4F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</w:pPr>
      <w:r>
        <w:t>Yatay</w:t>
      </w:r>
      <w:r>
        <w:rPr>
          <w:spacing w:val="16"/>
        </w:rPr>
        <w:t xml:space="preserve"> </w:t>
      </w:r>
      <w:r>
        <w:t>geçiş</w:t>
      </w:r>
      <w:r>
        <w:rPr>
          <w:spacing w:val="17"/>
        </w:rPr>
        <w:t xml:space="preserve"> </w:t>
      </w:r>
      <w:r>
        <w:t>yapan</w:t>
      </w:r>
      <w:r>
        <w:rPr>
          <w:spacing w:val="12"/>
        </w:rPr>
        <w:t xml:space="preserve"> </w:t>
      </w:r>
      <w:r>
        <w:t>öğrencilerin</w:t>
      </w:r>
      <w:r>
        <w:rPr>
          <w:spacing w:val="16"/>
        </w:rPr>
        <w:t xml:space="preserve"> </w:t>
      </w:r>
      <w:r>
        <w:t>önceki</w:t>
      </w:r>
      <w:r>
        <w:rPr>
          <w:spacing w:val="17"/>
        </w:rPr>
        <w:t xml:space="preserve"> </w:t>
      </w:r>
      <w:r>
        <w:t>programında</w:t>
      </w:r>
      <w:r>
        <w:rPr>
          <w:spacing w:val="16"/>
        </w:rPr>
        <w:t xml:space="preserve"> </w:t>
      </w:r>
      <w:r>
        <w:t>geçirdiği</w:t>
      </w:r>
      <w:r>
        <w:rPr>
          <w:spacing w:val="17"/>
        </w:rPr>
        <w:t xml:space="preserve"> </w:t>
      </w:r>
      <w:r>
        <w:t>süre</w:t>
      </w:r>
      <w:r>
        <w:rPr>
          <w:spacing w:val="16"/>
        </w:rPr>
        <w:t xml:space="preserve"> </w:t>
      </w:r>
      <w:r>
        <w:t>azami</w:t>
      </w:r>
      <w:r>
        <w:rPr>
          <w:spacing w:val="14"/>
        </w:rPr>
        <w:t xml:space="preserve"> </w:t>
      </w:r>
      <w:r>
        <w:t>öğrenim</w:t>
      </w:r>
      <w:r>
        <w:rPr>
          <w:spacing w:val="18"/>
        </w:rPr>
        <w:t xml:space="preserve"> </w:t>
      </w:r>
      <w:r>
        <w:t>süresinden</w:t>
      </w:r>
      <w:r>
        <w:rPr>
          <w:spacing w:val="-47"/>
        </w:rPr>
        <w:t xml:space="preserve"> </w:t>
      </w:r>
      <w:r>
        <w:t>sayılır.</w:t>
      </w:r>
    </w:p>
    <w:p w14:paraId="5483D92D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before="1"/>
      </w:pPr>
      <w:r>
        <w:t>Burslu</w:t>
      </w:r>
      <w:r>
        <w:rPr>
          <w:spacing w:val="26"/>
        </w:rPr>
        <w:t xml:space="preserve"> </w:t>
      </w:r>
      <w:r>
        <w:t>kontenjan</w:t>
      </w:r>
      <w:r>
        <w:rPr>
          <w:spacing w:val="27"/>
        </w:rPr>
        <w:t xml:space="preserve"> </w:t>
      </w:r>
      <w:r>
        <w:t>dahilinde</w:t>
      </w:r>
      <w:r>
        <w:rPr>
          <w:spacing w:val="25"/>
        </w:rPr>
        <w:t xml:space="preserve"> </w:t>
      </w:r>
      <w:r>
        <w:t>öğrenim</w:t>
      </w:r>
      <w:r>
        <w:rPr>
          <w:spacing w:val="27"/>
        </w:rPr>
        <w:t xml:space="preserve"> </w:t>
      </w:r>
      <w:r>
        <w:t>görmekte</w:t>
      </w:r>
      <w:r>
        <w:rPr>
          <w:spacing w:val="25"/>
        </w:rPr>
        <w:t xml:space="preserve"> </w:t>
      </w:r>
      <w:r>
        <w:t>olan</w:t>
      </w:r>
      <w:r>
        <w:rPr>
          <w:spacing w:val="25"/>
        </w:rPr>
        <w:t xml:space="preserve"> </w:t>
      </w:r>
      <w:r>
        <w:t>öğrenciler,</w:t>
      </w:r>
      <w:r>
        <w:rPr>
          <w:spacing w:val="27"/>
        </w:rPr>
        <w:t xml:space="preserve"> </w:t>
      </w:r>
      <w:r>
        <w:t>başka</w:t>
      </w:r>
      <w:r>
        <w:rPr>
          <w:spacing w:val="28"/>
        </w:rPr>
        <w:t xml:space="preserve"> </w:t>
      </w:r>
      <w:r>
        <w:t>bir</w:t>
      </w:r>
      <w:r>
        <w:rPr>
          <w:spacing w:val="24"/>
        </w:rPr>
        <w:t xml:space="preserve"> </w:t>
      </w:r>
      <w:r>
        <w:t>bölüme/programa</w:t>
      </w:r>
      <w:r>
        <w:rPr>
          <w:spacing w:val="-46"/>
        </w:rPr>
        <w:t xml:space="preserve"> </w:t>
      </w:r>
      <w:r>
        <w:t>yatay</w:t>
      </w:r>
      <w:r>
        <w:rPr>
          <w:spacing w:val="-3"/>
        </w:rPr>
        <w:t xml:space="preserve"> </w:t>
      </w:r>
      <w:r>
        <w:t>geçiş</w:t>
      </w:r>
      <w:r>
        <w:rPr>
          <w:spacing w:val="-3"/>
        </w:rPr>
        <w:t xml:space="preserve"> </w:t>
      </w:r>
      <w:r>
        <w:t>yaptıklarında burslarından</w:t>
      </w:r>
      <w:r>
        <w:rPr>
          <w:spacing w:val="-1"/>
        </w:rPr>
        <w:t xml:space="preserve"> </w:t>
      </w:r>
      <w:r>
        <w:t>feragat etmiş sayılırlar.</w:t>
      </w:r>
    </w:p>
    <w:p w14:paraId="612F6505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ind w:right="111"/>
      </w:pPr>
      <w:r>
        <w:t>Yükseköğretim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Yönetmeliğinde</w:t>
      </w:r>
      <w:r>
        <w:rPr>
          <w:spacing w:val="1"/>
        </w:rPr>
        <w:t xml:space="preserve"> </w:t>
      </w:r>
      <w:r>
        <w:t>sayılan</w:t>
      </w:r>
      <w:r>
        <w:rPr>
          <w:spacing w:val="1"/>
        </w:rPr>
        <w:t xml:space="preserve"> </w:t>
      </w:r>
      <w:r>
        <w:t>fiiller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disiplin</w:t>
      </w:r>
      <w:r>
        <w:rPr>
          <w:spacing w:val="-47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alanlar</w:t>
      </w:r>
      <w:r>
        <w:rPr>
          <w:spacing w:val="-4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başarısızlık nedeniyle</w:t>
      </w:r>
      <w:r>
        <w:rPr>
          <w:spacing w:val="-3"/>
        </w:rPr>
        <w:t xml:space="preserve"> </w:t>
      </w:r>
      <w:r>
        <w:t>ilişiği</w:t>
      </w:r>
      <w:r>
        <w:rPr>
          <w:spacing w:val="-1"/>
        </w:rPr>
        <w:t xml:space="preserve"> </w:t>
      </w:r>
      <w:r>
        <w:t>kesilenler</w:t>
      </w:r>
      <w:r>
        <w:rPr>
          <w:spacing w:val="-1"/>
        </w:rPr>
        <w:t xml:space="preserve"> </w:t>
      </w:r>
      <w:r>
        <w:t>yatay geçiş için</w:t>
      </w:r>
      <w:r>
        <w:rPr>
          <w:spacing w:val="-1"/>
        </w:rPr>
        <w:t xml:space="preserve"> </w:t>
      </w:r>
      <w:r>
        <w:t>başvuramazlar.</w:t>
      </w:r>
    </w:p>
    <w:p w14:paraId="72434A34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before="1"/>
      </w:pPr>
      <w:r>
        <w:t>Yatay</w:t>
      </w:r>
      <w:r>
        <w:rPr>
          <w:spacing w:val="-11"/>
        </w:rPr>
        <w:t xml:space="preserve"> </w:t>
      </w:r>
      <w:r>
        <w:t>geçiş</w:t>
      </w:r>
      <w:r>
        <w:rPr>
          <w:spacing w:val="-10"/>
        </w:rPr>
        <w:t xml:space="preserve"> </w:t>
      </w:r>
      <w:r>
        <w:t>yapılabilmesi</w:t>
      </w:r>
      <w:r>
        <w:rPr>
          <w:spacing w:val="-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genel</w:t>
      </w:r>
      <w:r>
        <w:rPr>
          <w:spacing w:val="-8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ortalaması</w:t>
      </w:r>
      <w:r>
        <w:rPr>
          <w:spacing w:val="-12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lisansta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2,00</w:t>
      </w:r>
      <w:r>
        <w:rPr>
          <w:spacing w:val="-6"/>
        </w:rPr>
        <w:t xml:space="preserve"> </w:t>
      </w:r>
      <w:r>
        <w:t>(70-74),</w:t>
      </w:r>
      <w:r>
        <w:rPr>
          <w:spacing w:val="-47"/>
        </w:rPr>
        <w:t xml:space="preserve"> </w:t>
      </w:r>
      <w:r>
        <w:t>doktorada en</w:t>
      </w:r>
      <w:r>
        <w:rPr>
          <w:spacing w:val="-4"/>
        </w:rPr>
        <w:t xml:space="preserve"> </w:t>
      </w:r>
      <w:r>
        <w:t>az 3,00 (80-84)</w:t>
      </w:r>
      <w:r>
        <w:rPr>
          <w:spacing w:val="-3"/>
        </w:rPr>
        <w:t xml:space="preserve"> </w:t>
      </w:r>
      <w:r>
        <w:t>olmalıdır.</w:t>
      </w:r>
    </w:p>
    <w:p w14:paraId="1A82A17B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ind w:right="109"/>
        <w:jc w:val="both"/>
      </w:pPr>
      <w:r>
        <w:t>Başvuru koşullarının uygunluğu ve muafiyete ilişkin olarak ilgili ana bilim dalı için gerekli AKTS</w:t>
      </w:r>
      <w:r>
        <w:rPr>
          <w:spacing w:val="1"/>
        </w:rPr>
        <w:t xml:space="preserve"> </w:t>
      </w:r>
      <w:r>
        <w:t>eşdeğerliği ve ders uyumu, enstitü yönetim kurulunca ilgili anabilim dalından belirlenecek üç</w:t>
      </w:r>
      <w:r>
        <w:rPr>
          <w:spacing w:val="1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üyesinden</w:t>
      </w:r>
      <w:r>
        <w:rPr>
          <w:spacing w:val="-6"/>
        </w:rPr>
        <w:t xml:space="preserve"> </w:t>
      </w:r>
      <w:r>
        <w:t>oluşan</w:t>
      </w:r>
      <w:r>
        <w:rPr>
          <w:spacing w:val="-9"/>
        </w:rPr>
        <w:t xml:space="preserve"> </w:t>
      </w:r>
      <w:r>
        <w:t>yatay</w:t>
      </w:r>
      <w:r>
        <w:rPr>
          <w:spacing w:val="-6"/>
        </w:rPr>
        <w:t xml:space="preserve"> </w:t>
      </w:r>
      <w:r>
        <w:t>geçiş</w:t>
      </w:r>
      <w:r>
        <w:rPr>
          <w:spacing w:val="-5"/>
        </w:rPr>
        <w:t xml:space="preserve"> </w:t>
      </w:r>
      <w:r>
        <w:t>komisyonunun</w:t>
      </w:r>
      <w:r>
        <w:rPr>
          <w:spacing w:val="-7"/>
        </w:rPr>
        <w:t xml:space="preserve"> </w:t>
      </w:r>
      <w:r>
        <w:t>önerileri</w:t>
      </w:r>
      <w:r>
        <w:rPr>
          <w:spacing w:val="-6"/>
        </w:rPr>
        <w:t xml:space="preserve"> </w:t>
      </w:r>
      <w:r>
        <w:t>doğrultusunda,</w:t>
      </w:r>
      <w:r>
        <w:rPr>
          <w:spacing w:val="-6"/>
        </w:rPr>
        <w:t xml:space="preserve"> </w:t>
      </w:r>
      <w:r>
        <w:t>enstitü</w:t>
      </w:r>
      <w:r>
        <w:rPr>
          <w:spacing w:val="-7"/>
        </w:rPr>
        <w:t xml:space="preserve"> </w:t>
      </w:r>
      <w:r>
        <w:t>yönetim</w:t>
      </w:r>
      <w:r>
        <w:rPr>
          <w:spacing w:val="-47"/>
        </w:rPr>
        <w:t xml:space="preserve"> </w:t>
      </w:r>
      <w:r>
        <w:t xml:space="preserve">kurulunca karara bağlanır. Ders uyumu ve intibak işlemleri için ders içeriklerinin en az </w:t>
      </w:r>
      <w:proofErr w:type="gramStart"/>
      <w:r>
        <w:t>%80</w:t>
      </w:r>
      <w:proofErr w:type="gramEnd"/>
      <w:r>
        <w:rPr>
          <w:spacing w:val="1"/>
        </w:rPr>
        <w:t xml:space="preserve"> </w:t>
      </w:r>
      <w:r>
        <w:t>oranında eşdeğer olması şartı aranır. Derslerin eşdeğerliği incelendiğinde eksik kredisi kalan</w:t>
      </w:r>
      <w:r>
        <w:rPr>
          <w:spacing w:val="1"/>
        </w:rPr>
        <w:t xml:space="preserve"> </w:t>
      </w:r>
      <w:r>
        <w:t>tez dönemindeki öğrencilerin yatay geçiş müracaatları kabul edilmez. Ders döneminde yatay</w:t>
      </w:r>
      <w:r>
        <w:rPr>
          <w:spacing w:val="1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intibak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kredileri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programın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dersleri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alınmayan</w:t>
      </w:r>
      <w:r>
        <w:rPr>
          <w:spacing w:val="-1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tamamlanır.</w:t>
      </w:r>
    </w:p>
    <w:p w14:paraId="2079B770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jc w:val="both"/>
      </w:pPr>
      <w:r>
        <w:t>Yatay geçiş komisyonunun değerlendirmelerinden sonra kontenjandan daha fazla öğrencinin</w:t>
      </w:r>
      <w:r>
        <w:rPr>
          <w:spacing w:val="1"/>
        </w:rPr>
        <w:t xml:space="preserve"> </w:t>
      </w:r>
      <w:r>
        <w:t>yatay geçiş müracaatının kabul edilmesi durumunda; adayların lisansüstü programa kabul</w:t>
      </w:r>
      <w:r>
        <w:rPr>
          <w:spacing w:val="1"/>
        </w:rPr>
        <w:t xml:space="preserve"> </w:t>
      </w:r>
      <w:r>
        <w:t>edilirken almış oldukları genel başarı notlarına göre sıralama yapılır. Bu notların eşit olması</w:t>
      </w:r>
      <w:r>
        <w:rPr>
          <w:spacing w:val="1"/>
        </w:rPr>
        <w:t xml:space="preserve"> </w:t>
      </w:r>
      <w:r>
        <w:t>durumunda</w:t>
      </w:r>
      <w:r>
        <w:rPr>
          <w:spacing w:val="-1"/>
        </w:rPr>
        <w:t xml:space="preserve"> </w:t>
      </w:r>
      <w:r>
        <w:t>ise adayların</w:t>
      </w:r>
      <w:r>
        <w:rPr>
          <w:spacing w:val="-1"/>
        </w:rPr>
        <w:t xml:space="preserve"> </w:t>
      </w:r>
      <w:r>
        <w:t>genel akademik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ortalamaları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alınır.</w:t>
      </w:r>
    </w:p>
    <w:p w14:paraId="787F0FA9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jc w:val="both"/>
      </w:pPr>
      <w:r>
        <w:t>Doktora programına tez aşamasında yatay geçiş yapmak isteyen öğrenciler, AKTS eşdeğerliği</w:t>
      </w:r>
      <w:r>
        <w:rPr>
          <w:spacing w:val="1"/>
        </w:rPr>
        <w:t xml:space="preserve"> </w:t>
      </w:r>
      <w:r>
        <w:t>ve ders uyumu koşullarını sağlamak, yeniden yeterlik sınavına ve tez önerisi savunmasına</w:t>
      </w:r>
      <w:r>
        <w:rPr>
          <w:spacing w:val="1"/>
        </w:rPr>
        <w:t xml:space="preserve"> </w:t>
      </w:r>
      <w:proofErr w:type="gramStart"/>
      <w:r>
        <w:t>girmek</w:t>
      </w:r>
      <w:proofErr w:type="gramEnd"/>
      <w:r>
        <w:rPr>
          <w:spacing w:val="-3"/>
        </w:rPr>
        <w:t xml:space="preserve"> </w:t>
      </w:r>
      <w:r>
        <w:t>şartıyla ilgili programa kabul edilebilir.</w:t>
      </w:r>
    </w:p>
    <w:p w14:paraId="3D88CDA4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ind w:right="111"/>
        <w:jc w:val="both"/>
      </w:pPr>
      <w:r>
        <w:t>Üniversite dışından başka bir yükseköğretim kurumundan yatay geçiş yapan bir öğrencinin,</w:t>
      </w:r>
      <w:r>
        <w:rPr>
          <w:spacing w:val="1"/>
        </w:rPr>
        <w:t xml:space="preserve"> </w:t>
      </w:r>
      <w:r>
        <w:t>öğrencisi olduğu yükseköğretim kurumunun İngilizce yeterlik sınavından en az 70 puana veya</w:t>
      </w:r>
      <w:r>
        <w:rPr>
          <w:spacing w:val="1"/>
        </w:rPr>
        <w:t xml:space="preserve"> </w:t>
      </w:r>
      <w:r>
        <w:t>yabancı dil hazırlık programında başarı belgesine veya ÖSYM tarafından eşdeğer kabul edilen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sınavdan</w:t>
      </w:r>
      <w:r>
        <w:rPr>
          <w:spacing w:val="-1"/>
        </w:rPr>
        <w:t xml:space="preserve"> </w:t>
      </w:r>
      <w:r>
        <w:t>eşdeğeri puana sahip</w:t>
      </w:r>
      <w:r>
        <w:rPr>
          <w:spacing w:val="-1"/>
        </w:rPr>
        <w:t xml:space="preserve"> </w:t>
      </w:r>
      <w:r>
        <w:t>olması gerekir.</w:t>
      </w:r>
    </w:p>
    <w:p w14:paraId="4445E12C" w14:textId="77777777" w:rsidR="00EC01CC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right="111"/>
        <w:jc w:val="both"/>
      </w:pPr>
      <w:r>
        <w:t>Yatay</w:t>
      </w:r>
      <w:r>
        <w:rPr>
          <w:spacing w:val="-5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yoluyla</w:t>
      </w:r>
      <w:r>
        <w:rPr>
          <w:spacing w:val="-5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dosyası</w:t>
      </w:r>
      <w:r>
        <w:rPr>
          <w:spacing w:val="-5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enstitüden</w:t>
      </w:r>
      <w:r>
        <w:rPr>
          <w:spacing w:val="-5"/>
        </w:rPr>
        <w:t xml:space="preserve"> </w:t>
      </w:r>
      <w:r>
        <w:t>istenir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intibak</w:t>
      </w:r>
      <w:r>
        <w:rPr>
          <w:spacing w:val="-5"/>
        </w:rPr>
        <w:t xml:space="preserve"> </w:t>
      </w:r>
      <w:r>
        <w:t>işlemleri</w:t>
      </w:r>
      <w:r>
        <w:rPr>
          <w:spacing w:val="-47"/>
        </w:rPr>
        <w:t xml:space="preserve"> </w:t>
      </w:r>
      <w:r>
        <w:t>yapılır.</w:t>
      </w:r>
      <w:r>
        <w:rPr>
          <w:spacing w:val="-7"/>
        </w:rPr>
        <w:t xml:space="preserve"> </w:t>
      </w:r>
      <w:r>
        <w:t>Yatay</w:t>
      </w:r>
      <w:r>
        <w:rPr>
          <w:spacing w:val="-5"/>
        </w:rPr>
        <w:t xml:space="preserve"> </w:t>
      </w:r>
      <w:r>
        <w:t>geçiş</w:t>
      </w:r>
      <w:r>
        <w:rPr>
          <w:spacing w:val="-8"/>
        </w:rPr>
        <w:t xml:space="preserve"> </w:t>
      </w:r>
      <w:r>
        <w:t>yoluyla</w:t>
      </w:r>
      <w:r>
        <w:rPr>
          <w:spacing w:val="-8"/>
        </w:rPr>
        <w:t xml:space="preserve"> </w:t>
      </w:r>
      <w:r>
        <w:t>enstitüden</w:t>
      </w:r>
      <w:r>
        <w:rPr>
          <w:spacing w:val="-6"/>
        </w:rPr>
        <w:t xml:space="preserve"> </w:t>
      </w:r>
      <w:r>
        <w:t>ayrılan</w:t>
      </w:r>
      <w:r>
        <w:rPr>
          <w:spacing w:val="-9"/>
        </w:rPr>
        <w:t xml:space="preserve"> </w:t>
      </w:r>
      <w:r>
        <w:t>öğrencinin</w:t>
      </w:r>
      <w:r>
        <w:rPr>
          <w:spacing w:val="-7"/>
        </w:rPr>
        <w:t xml:space="preserve"> </w:t>
      </w:r>
      <w:r>
        <w:t>dosya</w:t>
      </w:r>
      <w:r>
        <w:rPr>
          <w:spacing w:val="-11"/>
        </w:rPr>
        <w:t xml:space="preserve"> </w:t>
      </w:r>
      <w:r>
        <w:t>muhteviyatı,</w:t>
      </w:r>
      <w:r>
        <w:rPr>
          <w:spacing w:val="-5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>geçiş</w:t>
      </w:r>
      <w:r>
        <w:rPr>
          <w:spacing w:val="-8"/>
        </w:rPr>
        <w:t xml:space="preserve"> </w:t>
      </w:r>
      <w:r>
        <w:t>yaptığı</w:t>
      </w:r>
      <w:r>
        <w:rPr>
          <w:spacing w:val="-47"/>
        </w:rPr>
        <w:t xml:space="preserve"> </w:t>
      </w:r>
      <w:r>
        <w:t>enstitünün</w:t>
      </w:r>
      <w:r>
        <w:rPr>
          <w:spacing w:val="-2"/>
        </w:rPr>
        <w:t xml:space="preserve"> </w:t>
      </w:r>
      <w:r>
        <w:t>talebi üzerine</w:t>
      </w:r>
      <w:r>
        <w:rPr>
          <w:spacing w:val="1"/>
        </w:rPr>
        <w:t xml:space="preserve"> </w:t>
      </w:r>
      <w:r>
        <w:t>fotokopisi</w:t>
      </w:r>
      <w:r>
        <w:rPr>
          <w:spacing w:val="-1"/>
        </w:rPr>
        <w:t xml:space="preserve"> </w:t>
      </w:r>
      <w:r>
        <w:t>alındıktan sonra</w:t>
      </w:r>
      <w:r>
        <w:rPr>
          <w:spacing w:val="-3"/>
        </w:rPr>
        <w:t xml:space="preserve"> </w:t>
      </w:r>
      <w:r>
        <w:t>gönderilir.</w:t>
      </w:r>
    </w:p>
    <w:sectPr w:rsidR="00EC01CC">
      <w:type w:val="continuous"/>
      <w:pgSz w:w="11910" w:h="16840"/>
      <w:pgMar w:top="136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491"/>
    <w:multiLevelType w:val="hybridMultilevel"/>
    <w:tmpl w:val="59463F54"/>
    <w:lvl w:ilvl="0" w:tplc="EBD4EA1E">
      <w:start w:val="1"/>
      <w:numFmt w:val="decimal"/>
      <w:lvlText w:val="(%1)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2A44F38E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3F2C006E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EF5AD47A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D1CABF8E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551EC7EE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76DAF59C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1C0A263E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72C8C2AE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num w:numId="1" w16cid:durableId="50019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CC"/>
    <w:rsid w:val="00BD1437"/>
    <w:rsid w:val="00D75FB3"/>
    <w:rsid w:val="00E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657F"/>
  <w15:docId w15:val="{91513FFF-CD7E-4E93-9FF8-B4F82C47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 w:right="112" w:hanging="360"/>
      <w:jc w:val="both"/>
    </w:pPr>
  </w:style>
  <w:style w:type="paragraph" w:styleId="ListeParagraf">
    <w:name w:val="List Paragraph"/>
    <w:basedOn w:val="Normal"/>
    <w:uiPriority w:val="1"/>
    <w:qFormat/>
    <w:pPr>
      <w:ind w:left="476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Leyla AYAR</cp:lastModifiedBy>
  <cp:revision>2</cp:revision>
  <dcterms:created xsi:type="dcterms:W3CDTF">2024-05-15T08:53:00Z</dcterms:created>
  <dcterms:modified xsi:type="dcterms:W3CDTF">2024-05-15T08:53:00Z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2024-05-15T00:00:00Z</vt:filetime>
  </property>
</Properties>
</file>